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A" w:rsidRPr="009317FA" w:rsidRDefault="009317FA" w:rsidP="009317FA">
      <w:pPr>
        <w:framePr w:hSpace="180" w:wrap="around" w:vAnchor="text" w:hAnchor="margin" w:xAlign="center" w:y="111"/>
        <w:suppressOverlap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9317F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«Человек – Техника»</w:t>
      </w:r>
    </w:p>
    <w:p w:rsidR="009317FA" w:rsidRDefault="009317FA" w:rsidP="009317FA">
      <w:pPr>
        <w:framePr w:hSpace="180" w:wrap="around" w:vAnchor="text" w:hAnchor="margin" w:xAlign="center" w:y="111"/>
        <w:suppressOverlap/>
        <w:rPr>
          <w:rFonts w:ascii="Times New Roman" w:eastAsia="Times New Roman" w:hAnsi="Times New Roman" w:cs="Aharoni"/>
          <w:color w:val="FF0000"/>
          <w:sz w:val="28"/>
          <w:szCs w:val="28"/>
          <w:lang w:eastAsia="ru-RU"/>
        </w:rPr>
      </w:pPr>
    </w:p>
    <w:p w:rsidR="009317FA" w:rsidRPr="009317FA" w:rsidRDefault="009317FA" w:rsidP="009317FA">
      <w:pPr>
        <w:framePr w:hSpace="180" w:wrap="around" w:vAnchor="text" w:hAnchor="margin" w:xAlign="center" w:y="111"/>
        <w:suppressOverlap/>
        <w:jc w:val="center"/>
        <w:rPr>
          <w:rFonts w:ascii="Arial" w:eastAsia="Times New Roman" w:hAnsi="Arial" w:cs="Aharoni"/>
          <w:b/>
          <w:bCs/>
          <w:color w:val="FF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9317FA" w:rsidRPr="006323CA" w:rsidRDefault="009317FA" w:rsidP="009317FA">
      <w:pPr>
        <w:framePr w:hSpace="180" w:wrap="around" w:vAnchor="text" w:hAnchor="margin" w:xAlign="center" w:y="111"/>
        <w:ind w:left="740"/>
        <w:suppressOverlap/>
        <w:jc w:val="center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</w:pPr>
      <w:r w:rsidRPr="009317FA">
        <w:rPr>
          <w:rFonts w:ascii="Times New Roman" w:eastAsia="Times New Roman" w:hAnsi="Times New Roman" w:cs="Aharoni"/>
          <w:noProof/>
          <w:color w:val="000000"/>
          <w:sz w:val="28"/>
          <w:szCs w:val="28"/>
          <w:lang w:eastAsia="ru-RU"/>
        </w:rPr>
        <w:drawing>
          <wp:inline distT="0" distB="0" distL="0" distR="0" wp14:anchorId="66A15B28" wp14:editId="5732F36F">
            <wp:extent cx="632460" cy="63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28"/>
          <w:szCs w:val="28"/>
          <w:lang w:eastAsia="ru-RU"/>
        </w:rPr>
        <w:drawing>
          <wp:inline distT="0" distB="0" distL="0" distR="0" wp14:anchorId="3356514D" wp14:editId="1179C08E">
            <wp:extent cx="709930" cy="709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28"/>
          <w:szCs w:val="28"/>
          <w:lang w:eastAsia="ru-RU"/>
        </w:rPr>
        <w:drawing>
          <wp:inline distT="0" distB="0" distL="0" distR="0" wp14:anchorId="5F234DE9" wp14:editId="6870D3A9">
            <wp:extent cx="622300" cy="622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28"/>
          <w:szCs w:val="28"/>
          <w:lang w:eastAsia="ru-RU"/>
        </w:rPr>
        <w:drawing>
          <wp:inline distT="0" distB="0" distL="0" distR="0" wp14:anchorId="4B74E970" wp14:editId="5F2C4EDE">
            <wp:extent cx="641985" cy="6419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br/>
      </w:r>
    </w:p>
    <w:p w:rsidR="009317FA" w:rsidRPr="006323CA" w:rsidRDefault="009317FA" w:rsidP="009317FA">
      <w:pPr>
        <w:framePr w:hSpace="180" w:wrap="around" w:vAnchor="text" w:hAnchor="margin" w:xAlign="center" w:y="111"/>
        <w:ind w:left="740"/>
        <w:suppressOverlap/>
        <w:jc w:val="center"/>
        <w:rPr>
          <w:rFonts w:ascii="Times New Roman" w:eastAsia="Times New Roman" w:hAnsi="Times New Roman" w:cs="Aharoni"/>
          <w:i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  <w:t>Профессии с</w:t>
      </w:r>
      <w:r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  <w:t>вязаны:</w:t>
      </w:r>
    </w:p>
    <w:p w:rsidR="009317FA" w:rsidRPr="009317FA" w:rsidRDefault="009317FA" w:rsidP="009317FA">
      <w:pPr>
        <w:framePr w:hSpace="180" w:wrap="around" w:vAnchor="text" w:hAnchor="margin" w:xAlign="center" w:y="111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66" w:hanging="426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9317FA" w:rsidRPr="009317FA" w:rsidRDefault="009317FA" w:rsidP="009317FA">
      <w:pPr>
        <w:framePr w:hSpace="180" w:wrap="around" w:vAnchor="text" w:hAnchor="margin" w:xAlign="center" w:y="111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66" w:hanging="426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с эксплуатацией технических средств (водитель, токарь, швея...); </w:t>
      </w:r>
    </w:p>
    <w:p w:rsidR="009317FA" w:rsidRPr="009317FA" w:rsidRDefault="009317FA" w:rsidP="009317FA">
      <w:pPr>
        <w:framePr w:hSpace="180" w:wrap="around" w:vAnchor="text" w:hAnchor="margin" w:xAlign="center" w:y="111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66" w:hanging="426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 ремонтом техники (механик, электромонтер...).</w:t>
      </w:r>
    </w:p>
    <w:p w:rsidR="009317FA" w:rsidRPr="009317FA" w:rsidRDefault="009317FA" w:rsidP="009317FA">
      <w:pPr>
        <w:framePr w:hSpace="180" w:wrap="around" w:vAnchor="text" w:hAnchor="margin" w:xAlign="center" w:y="111"/>
        <w:spacing w:before="100" w:beforeAutospacing="1" w:after="100" w:afterAutospacing="1"/>
        <w:suppressOverlap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91"/>
        <w:tblOverlap w:val="never"/>
        <w:tblW w:w="0" w:type="auto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3866"/>
      </w:tblGrid>
      <w:tr w:rsidR="009317FA" w:rsidRPr="009317FA" w:rsidTr="009317FA">
        <w:trPr>
          <w:trHeight w:val="152"/>
          <w:tblCellSpacing w:w="15" w:type="dxa"/>
        </w:trPr>
        <w:tc>
          <w:tcPr>
            <w:tcW w:w="5424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B1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  <w:b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b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FA" w:rsidRPr="009317FA" w:rsidRDefault="009317FA" w:rsidP="00B1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  <w:b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b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317FA" w:rsidRPr="009317FA" w:rsidTr="009317FA">
        <w:trPr>
          <w:trHeight w:val="5053"/>
          <w:tblCellSpacing w:w="15" w:type="dxa"/>
        </w:trPr>
        <w:tc>
          <w:tcPr>
            <w:tcW w:w="5424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исследовать, наблюдать;</w:t>
            </w:r>
          </w:p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создавать и испытывать новые образцы;</w:t>
            </w:r>
          </w:p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планировать, конструировать, проектировать, разрабатывать, моделировать;</w:t>
            </w:r>
          </w:p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придумывать новые способы деятельности;</w:t>
            </w:r>
          </w:p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самостоятельно организовывать свою работу и работу других;</w:t>
            </w:r>
          </w:p>
          <w:p w:rsidR="009317FA" w:rsidRPr="009317FA" w:rsidRDefault="009317FA" w:rsidP="00931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принимать нестандартные решения.</w:t>
            </w:r>
          </w:p>
        </w:tc>
        <w:tc>
          <w:tcPr>
            <w:tcW w:w="382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технический склад ума;</w:t>
            </w:r>
          </w:p>
          <w:p w:rsidR="009317FA" w:rsidRPr="009317FA" w:rsidRDefault="009317FA" w:rsidP="009317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пространственное воображение;</w:t>
            </w:r>
          </w:p>
          <w:p w:rsidR="009317FA" w:rsidRPr="009317FA" w:rsidRDefault="009317FA" w:rsidP="009317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7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склонность к практическому труду;</w:t>
            </w:r>
          </w:p>
          <w:p w:rsidR="009317FA" w:rsidRPr="009317FA" w:rsidRDefault="009317FA" w:rsidP="009317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 w:cs="Aharoni"/>
                <w:color w:val="000000"/>
                <w:sz w:val="32"/>
                <w:szCs w:val="32"/>
                <w:lang w:eastAsia="ru-RU"/>
              </w:rPr>
              <w:t>эмоциональная устойчивость.</w:t>
            </w:r>
          </w:p>
        </w:tc>
      </w:tr>
    </w:tbl>
    <w:p w:rsidR="009317FA" w:rsidRPr="008211E8" w:rsidRDefault="009317FA" w:rsidP="009317FA">
      <w:pPr>
        <w:framePr w:hSpace="180" w:wrap="around" w:vAnchor="text" w:hAnchor="margin" w:xAlign="center" w:y="111"/>
        <w:spacing w:before="100" w:beforeAutospacing="1" w:after="100" w:afterAutospacing="1"/>
        <w:suppressOverlap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9317FA" w:rsidRDefault="009317FA" w:rsidP="00931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9317F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«Человек — Знаковая система»</w:t>
      </w:r>
    </w:p>
    <w:p w:rsidR="009317FA" w:rsidRDefault="009317FA" w:rsidP="00931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317FA" w:rsidRPr="009317FA" w:rsidRDefault="009317FA" w:rsidP="009317FA">
      <w:pPr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8211E8">
        <w:rPr>
          <w:rFonts w:ascii="Times New Roman" w:eastAsia="Times New Roman" w:hAnsi="Times New Roman" w:cs="Aharoni"/>
          <w:color w:val="FF0000"/>
          <w:sz w:val="20"/>
          <w:szCs w:val="20"/>
          <w:lang w:eastAsia="ru-RU"/>
        </w:rPr>
        <w:br/>
      </w: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В качестве знаковой системы могут выступать цифры, числовые значения, коды, символы, тексты.</w:t>
      </w:r>
    </w:p>
    <w:p w:rsidR="009317FA" w:rsidRPr="009317FA" w:rsidRDefault="009317FA" w:rsidP="009317FA">
      <w:pPr>
        <w:ind w:left="740"/>
        <w:jc w:val="center"/>
        <w:rPr>
          <w:rFonts w:cs="Aharoni"/>
          <w:sz w:val="32"/>
          <w:szCs w:val="32"/>
        </w:rPr>
      </w:pPr>
      <w:r w:rsidRPr="009317F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5094977D" wp14:editId="6F846874">
            <wp:extent cx="661670" cy="661670"/>
            <wp:effectExtent l="0" t="0" r="508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45A8265F" wp14:editId="5ED4EAA5">
            <wp:extent cx="671195" cy="6711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293A9781" wp14:editId="47D3085A">
            <wp:extent cx="768350" cy="768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F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0C036C55" wp14:editId="7A5FB80A">
            <wp:extent cx="729615" cy="7296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FA" w:rsidRDefault="009317FA" w:rsidP="009317FA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32"/>
          <w:szCs w:val="32"/>
          <w:u w:val="single"/>
          <w:lang w:eastAsia="ru-RU"/>
        </w:rPr>
      </w:pPr>
    </w:p>
    <w:p w:rsidR="006323CA" w:rsidRDefault="006323CA" w:rsidP="009317FA">
      <w:pPr>
        <w:spacing w:after="0" w:line="240" w:lineRule="auto"/>
        <w:jc w:val="center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</w:pPr>
    </w:p>
    <w:p w:rsidR="009317FA" w:rsidRDefault="006323CA" w:rsidP="009317FA">
      <w:pPr>
        <w:spacing w:after="0" w:line="240" w:lineRule="auto"/>
        <w:jc w:val="center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  <w:t>Профессии связанны</w:t>
      </w:r>
      <w:r w:rsidR="009317FA"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ru-RU"/>
        </w:rPr>
        <w:t>:</w:t>
      </w:r>
    </w:p>
    <w:p w:rsidR="006323CA" w:rsidRPr="006323CA" w:rsidRDefault="006323CA" w:rsidP="009317FA">
      <w:pPr>
        <w:spacing w:after="0" w:line="240" w:lineRule="auto"/>
        <w:jc w:val="center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ru-RU"/>
        </w:rPr>
      </w:pPr>
    </w:p>
    <w:p w:rsidR="009317FA" w:rsidRPr="009317FA" w:rsidRDefault="009317FA" w:rsidP="00931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с текстами (корректор, переводчик, машинистка...); </w:t>
      </w:r>
    </w:p>
    <w:p w:rsidR="009317FA" w:rsidRPr="009317FA" w:rsidRDefault="009317FA" w:rsidP="00931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с цифрами, формулами и таблицами (программист, оператор ПК, бухгалтер, кассир...); </w:t>
      </w:r>
    </w:p>
    <w:p w:rsidR="009317FA" w:rsidRPr="009317FA" w:rsidRDefault="009317FA" w:rsidP="00931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с чертежами, картами; </w:t>
      </w:r>
    </w:p>
    <w:p w:rsidR="009317FA" w:rsidRPr="009317FA" w:rsidRDefault="009317FA" w:rsidP="00931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со схемами (штурман, чертежник, картограф...); </w:t>
      </w:r>
    </w:p>
    <w:p w:rsidR="009317FA" w:rsidRDefault="009317FA" w:rsidP="00931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9317F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со звуковыми сигналами (радист, телефонист...).</w:t>
      </w:r>
    </w:p>
    <w:p w:rsidR="006323CA" w:rsidRPr="009317FA" w:rsidRDefault="006323CA" w:rsidP="006323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</w:p>
    <w:tbl>
      <w:tblPr>
        <w:tblW w:w="9950" w:type="dxa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220"/>
      </w:tblGrid>
      <w:tr w:rsidR="009317FA" w:rsidRPr="008211E8" w:rsidTr="006323CA">
        <w:trPr>
          <w:tblCellSpacing w:w="15" w:type="dxa"/>
          <w:jc w:val="center"/>
        </w:trPr>
        <w:tc>
          <w:tcPr>
            <w:tcW w:w="5685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317FA" w:rsidRPr="008211E8" w:rsidTr="006323CA">
        <w:trPr>
          <w:trHeight w:val="4964"/>
          <w:tblCellSpacing w:w="15" w:type="dxa"/>
          <w:jc w:val="center"/>
        </w:trPr>
        <w:tc>
          <w:tcPr>
            <w:tcW w:w="5685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обрабатывать тексты и таблицы;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производить расчеты и вычисления;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перерабатывать информацию;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работать с чертежами, картами и схемами;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принимать и передавать сигналы и сообщения;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хорошо считать в уме;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оперировать знаками и символами; </w:t>
            </w:r>
          </w:p>
          <w:p w:rsidR="009317FA" w:rsidRPr="009317FA" w:rsidRDefault="009317FA" w:rsidP="009317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искать и исправлять ошибки.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9317FA" w:rsidRDefault="009317FA" w:rsidP="009317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способность к математике; </w:t>
            </w:r>
          </w:p>
          <w:p w:rsidR="009317FA" w:rsidRPr="009317FA" w:rsidRDefault="009317FA" w:rsidP="009317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развитое абстрактное мышление; </w:t>
            </w:r>
          </w:p>
          <w:p w:rsidR="009317FA" w:rsidRPr="009317FA" w:rsidRDefault="009317FA" w:rsidP="009317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высокая устойчивость внимания; </w:t>
            </w:r>
          </w:p>
          <w:p w:rsidR="009317FA" w:rsidRPr="009317FA" w:rsidRDefault="009317FA" w:rsidP="009317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общению; </w:t>
            </w:r>
          </w:p>
          <w:p w:rsidR="009317FA" w:rsidRPr="009317FA" w:rsidRDefault="009317FA" w:rsidP="009317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317F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аккуратность и усидчивость.</w:t>
            </w:r>
          </w:p>
        </w:tc>
      </w:tr>
    </w:tbl>
    <w:p w:rsidR="009317FA" w:rsidRDefault="009317FA" w:rsidP="009317FA">
      <w:pPr>
        <w:tabs>
          <w:tab w:val="left" w:pos="1976"/>
        </w:tabs>
      </w:pPr>
    </w:p>
    <w:p w:rsidR="009317FA" w:rsidRDefault="006323CA" w:rsidP="009317F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323C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 xml:space="preserve"> «Человек – Природа»</w:t>
      </w:r>
      <w:r w:rsidR="009317FA" w:rsidRPr="006323C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</w:r>
    </w:p>
    <w:p w:rsidR="006323CA" w:rsidRPr="006323CA" w:rsidRDefault="006323CA" w:rsidP="009317F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17FA" w:rsidRPr="006323CA" w:rsidRDefault="009317FA" w:rsidP="006323C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В основе </w:t>
      </w:r>
      <w:proofErr w:type="spellStart"/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биономических</w:t>
      </w:r>
      <w:proofErr w:type="spellEnd"/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 профессий лежит работа с природными объектами и явлениями.</w:t>
      </w:r>
    </w:p>
    <w:p w:rsidR="006323CA" w:rsidRDefault="009317FA" w:rsidP="006323C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 w:cs="Aharoni"/>
          <w:color w:val="000000"/>
          <w:sz w:val="32"/>
          <w:szCs w:val="32"/>
          <w:u w:val="single"/>
          <w:lang w:eastAsia="ru-RU"/>
        </w:rPr>
      </w:pPr>
      <w:r w:rsidRPr="006323C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5A6482A0" wp14:editId="5CF41EBF">
            <wp:extent cx="826770" cy="8267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3BA88651" wp14:editId="4B35A6D8">
            <wp:extent cx="846455" cy="8464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 w:cs="Aharoni"/>
          <w:noProof/>
          <w:color w:val="000000"/>
          <w:sz w:val="32"/>
          <w:szCs w:val="32"/>
          <w:lang w:eastAsia="ru-RU"/>
        </w:rPr>
        <w:drawing>
          <wp:inline distT="0" distB="0" distL="0" distR="0" wp14:anchorId="33EAD1B7" wp14:editId="527C37F7">
            <wp:extent cx="836295" cy="836295"/>
            <wp:effectExtent l="0" t="0" r="190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br/>
      </w:r>
    </w:p>
    <w:p w:rsidR="006323CA" w:rsidRDefault="006323CA" w:rsidP="006323C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 w:cs="Aharoni"/>
          <w:color w:val="000000"/>
          <w:sz w:val="32"/>
          <w:szCs w:val="32"/>
          <w:u w:val="single"/>
          <w:lang w:eastAsia="ru-RU"/>
        </w:rPr>
      </w:pPr>
    </w:p>
    <w:p w:rsidR="009317FA" w:rsidRPr="006323CA" w:rsidRDefault="006323CA" w:rsidP="006323CA">
      <w:pPr>
        <w:framePr w:hSpace="180" w:wrap="around" w:vAnchor="text" w:hAnchor="margin" w:xAlign="center" w:y="111"/>
        <w:spacing w:after="0" w:line="240" w:lineRule="auto"/>
        <w:suppressOverlap/>
        <w:jc w:val="center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  <w:t>Профессии с</w:t>
      </w:r>
      <w:r w:rsidR="009317FA" w:rsidRPr="006323CA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u w:val="single"/>
          <w:lang w:eastAsia="ru-RU"/>
        </w:rPr>
        <w:t>вязаны:</w:t>
      </w:r>
    </w:p>
    <w:p w:rsidR="009317FA" w:rsidRPr="006323CA" w:rsidRDefault="009317FA" w:rsidP="009317FA">
      <w:pPr>
        <w:framePr w:hSpace="180" w:wrap="around" w:vAnchor="text" w:hAnchor="margin" w:xAlign="center" w:y="111"/>
        <w:numPr>
          <w:ilvl w:val="0"/>
          <w:numId w:val="4"/>
        </w:numPr>
        <w:spacing w:before="100" w:beforeAutospacing="1" w:after="100" w:afterAutospacing="1" w:line="240" w:lineRule="auto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 изучением живой и неживой природы (микробиолог, агрохимик, геолог...);</w:t>
      </w:r>
    </w:p>
    <w:p w:rsidR="009317FA" w:rsidRPr="006323CA" w:rsidRDefault="009317FA" w:rsidP="009317FA">
      <w:pPr>
        <w:framePr w:hSpace="180" w:wrap="around" w:vAnchor="text" w:hAnchor="margin" w:xAlign="center" w:y="111"/>
        <w:numPr>
          <w:ilvl w:val="0"/>
          <w:numId w:val="4"/>
        </w:numPr>
        <w:spacing w:before="100" w:beforeAutospacing="1" w:after="100" w:afterAutospacing="1" w:line="240" w:lineRule="auto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 уходом за растениями и животными (лесовод, овощевод, фермер, зоотехник…);</w:t>
      </w:r>
    </w:p>
    <w:p w:rsidR="009317FA" w:rsidRPr="006323CA" w:rsidRDefault="009317FA" w:rsidP="009317FA">
      <w:pPr>
        <w:framePr w:hSpace="180" w:wrap="around" w:vAnchor="text" w:hAnchor="margin" w:xAlign="center" w:y="111"/>
        <w:numPr>
          <w:ilvl w:val="0"/>
          <w:numId w:val="4"/>
        </w:numPr>
        <w:spacing w:before="100" w:beforeAutospacing="1" w:after="100" w:afterAutospacing="1" w:line="240" w:lineRule="auto"/>
        <w:suppressOverlap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>с профилактикой и лечением заболеваний растений и животных (ветеринар...).</w:t>
      </w:r>
    </w:p>
    <w:p w:rsidR="009317FA" w:rsidRPr="008211E8" w:rsidRDefault="009317FA" w:rsidP="009317FA">
      <w:pPr>
        <w:framePr w:hSpace="180" w:wrap="around" w:vAnchor="text" w:hAnchor="margin" w:xAlign="center" w:y="111"/>
        <w:spacing w:before="100" w:beforeAutospacing="1" w:after="100" w:afterAutospacing="1" w:line="240" w:lineRule="auto"/>
        <w:suppressOverlap/>
        <w:rPr>
          <w:rFonts w:ascii="Times New Roman" w:eastAsia="Times New Roman" w:hAnsi="Times New Roman" w:cs="Aharon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64" w:tblpY="6823"/>
        <w:tblOverlap w:val="never"/>
        <w:tblW w:w="9983" w:type="dxa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171"/>
      </w:tblGrid>
      <w:tr w:rsidR="009317FA" w:rsidRPr="006323CA" w:rsidTr="006323CA">
        <w:trPr>
          <w:trHeight w:val="429"/>
          <w:tblCellSpacing w:w="15" w:type="dxa"/>
        </w:trPr>
        <w:tc>
          <w:tcPr>
            <w:tcW w:w="576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63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4126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632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317FA" w:rsidRPr="006323CA" w:rsidTr="006323CA">
        <w:trPr>
          <w:trHeight w:val="2765"/>
          <w:tblCellSpacing w:w="15" w:type="dxa"/>
        </w:trPr>
        <w:tc>
          <w:tcPr>
            <w:tcW w:w="576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ухаживать и наблюдать за животными;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разводить растения или животных;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заготавливать продукты (грибы, ягоды, рыбу...);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бороться с болезнями, вредителями;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выращивать овощи и фрукты;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ориентироваться в природных явлениях; </w:t>
            </w:r>
          </w:p>
          <w:p w:rsidR="009317FA" w:rsidRPr="006323CA" w:rsidRDefault="009317FA" w:rsidP="006323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наблюдать, изучать </w:t>
            </w:r>
            <w:proofErr w:type="gramStart"/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различные</w:t>
            </w:r>
            <w:proofErr w:type="gramEnd"/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природные явлениями. </w:t>
            </w:r>
          </w:p>
        </w:tc>
        <w:tc>
          <w:tcPr>
            <w:tcW w:w="4126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6323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9317FA" w:rsidRPr="006323CA" w:rsidRDefault="009317FA" w:rsidP="006323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систематизации; </w:t>
            </w:r>
          </w:p>
          <w:p w:rsidR="009317FA" w:rsidRPr="006323CA" w:rsidRDefault="009317FA" w:rsidP="006323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устойчивость внимания; </w:t>
            </w:r>
          </w:p>
          <w:p w:rsidR="009317FA" w:rsidRPr="006323CA" w:rsidRDefault="009317FA" w:rsidP="006323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потребность в двигательной активности.</w:t>
            </w:r>
          </w:p>
        </w:tc>
      </w:tr>
    </w:tbl>
    <w:p w:rsidR="009317FA" w:rsidRDefault="009317FA" w:rsidP="009317FA">
      <w:pPr>
        <w:tabs>
          <w:tab w:val="left" w:pos="1976"/>
        </w:tabs>
      </w:pPr>
    </w:p>
    <w:p w:rsidR="009317FA" w:rsidRPr="009317FA" w:rsidRDefault="009317FA" w:rsidP="009317FA"/>
    <w:p w:rsidR="009317FA" w:rsidRPr="009317FA" w:rsidRDefault="009317FA" w:rsidP="009317FA"/>
    <w:p w:rsidR="009317FA" w:rsidRDefault="009317FA" w:rsidP="006323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323C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«Ч</w:t>
      </w:r>
      <w:r w:rsidR="006323CA" w:rsidRPr="006323C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еловек — Художественный образ»</w:t>
      </w:r>
      <w:r w:rsidRPr="006323CA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br/>
      </w:r>
    </w:p>
    <w:p w:rsidR="006323CA" w:rsidRPr="006323CA" w:rsidRDefault="006323CA" w:rsidP="006323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317FA" w:rsidRPr="006323CA" w:rsidRDefault="009317FA" w:rsidP="006323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худог</w:t>
      </w:r>
      <w:proofErr w:type="spellEnd"/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</w:t>
      </w:r>
    </w:p>
    <w:p w:rsidR="009317FA" w:rsidRPr="006323CA" w:rsidRDefault="009317FA" w:rsidP="006323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E06F874" wp14:editId="6C767B51">
            <wp:extent cx="788035" cy="7880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865B1F6" wp14:editId="1068F4A0">
            <wp:extent cx="894715" cy="894715"/>
            <wp:effectExtent l="0" t="0" r="63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57D51D4" wp14:editId="53B8F23A">
            <wp:extent cx="846455" cy="8464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CA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9318E75" wp14:editId="7D331436">
            <wp:extent cx="934085" cy="9340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CA" w:rsidRDefault="006323CA" w:rsidP="006323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6323CA" w:rsidRDefault="006323CA" w:rsidP="006323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9317FA" w:rsidRPr="006323CA" w:rsidRDefault="009317FA" w:rsidP="006323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  <w:r w:rsidRPr="006323CA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 xml:space="preserve">Профессия данного типа </w:t>
      </w:r>
      <w:proofErr w:type="gramStart"/>
      <w:r w:rsidRPr="006323CA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>связаны</w:t>
      </w:r>
      <w:proofErr w:type="gramEnd"/>
      <w:r w:rsidRPr="006323CA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>:</w:t>
      </w:r>
    </w:p>
    <w:p w:rsidR="009317FA" w:rsidRPr="006323CA" w:rsidRDefault="009317FA" w:rsidP="0093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созданием, проектированием, моделированием художественных произведений (художник, парикмахер, кондитер композитор...); </w:t>
      </w:r>
    </w:p>
    <w:p w:rsidR="009317FA" w:rsidRDefault="009317FA" w:rsidP="0093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tbl>
      <w:tblPr>
        <w:tblW w:w="10320" w:type="dxa"/>
        <w:jc w:val="center"/>
        <w:tblCellSpacing w:w="15" w:type="dxa"/>
        <w:tblInd w:w="-2312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3891"/>
      </w:tblGrid>
      <w:tr w:rsidR="009317FA" w:rsidRPr="006323CA" w:rsidTr="006323CA">
        <w:trPr>
          <w:trHeight w:val="275"/>
          <w:tblCellSpacing w:w="15" w:type="dxa"/>
          <w:jc w:val="center"/>
        </w:trPr>
        <w:tc>
          <w:tcPr>
            <w:tcW w:w="6384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931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931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317FA" w:rsidRPr="006323CA" w:rsidTr="006323CA">
        <w:trPr>
          <w:trHeight w:val="2460"/>
          <w:tblCellSpacing w:w="15" w:type="dxa"/>
          <w:jc w:val="center"/>
        </w:trPr>
        <w:tc>
          <w:tcPr>
            <w:tcW w:w="6384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оформлением; </w:t>
            </w:r>
          </w:p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творчеством </w:t>
            </w: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(живопись, скульптура, фотография, кино...); </w:t>
            </w:r>
          </w:p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сочинять (стихи, прозу и др.); </w:t>
            </w:r>
          </w:p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выступать на сцене; </w:t>
            </w:r>
          </w:p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изготавливать своими руками красивые вещи; </w:t>
            </w:r>
          </w:p>
          <w:p w:rsidR="009317FA" w:rsidRPr="006323CA" w:rsidRDefault="009317FA" w:rsidP="009317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петь, играть на музыкальных инструментах.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яркое воображение; </w:t>
            </w:r>
          </w:p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образное мышление; </w:t>
            </w:r>
          </w:p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творчеству; </w:t>
            </w:r>
          </w:p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гибкость чувств; </w:t>
            </w:r>
          </w:p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специальные способности; </w:t>
            </w:r>
          </w:p>
          <w:p w:rsidR="009317FA" w:rsidRPr="006323CA" w:rsidRDefault="009317FA" w:rsidP="009317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развитость функциональных способностей </w:t>
            </w: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(слух, зрение, речь, вкус и т.п.) </w:t>
            </w:r>
          </w:p>
        </w:tc>
      </w:tr>
    </w:tbl>
    <w:p w:rsidR="009317FA" w:rsidRPr="008211E8" w:rsidRDefault="009317FA" w:rsidP="009317FA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FF0000"/>
          <w:sz w:val="20"/>
          <w:szCs w:val="20"/>
          <w:lang w:eastAsia="ru-RU"/>
        </w:rPr>
      </w:pPr>
    </w:p>
    <w:p w:rsidR="009317FA" w:rsidRDefault="006323CA" w:rsidP="00931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6323CA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«Человек - Человек»</w:t>
      </w:r>
    </w:p>
    <w:p w:rsidR="006323CA" w:rsidRDefault="006323CA" w:rsidP="00931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6323CA" w:rsidRDefault="006323CA" w:rsidP="009317FA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6323CA">
        <w:rPr>
          <w:rFonts w:ascii="Times New Roman" w:hAnsi="Times New Roman"/>
          <w:color w:val="333333"/>
          <w:sz w:val="32"/>
          <w:szCs w:val="32"/>
        </w:rPr>
        <w:t>Профессии этого типа, связаны с обучением, обслуживанием, воспитанием, руководством. Лучше ориентироваться в этой области помогают такие учебные предме</w:t>
      </w:r>
      <w:bookmarkStart w:id="0" w:name="_GoBack"/>
      <w:bookmarkEnd w:id="0"/>
      <w:r w:rsidRPr="006323CA">
        <w:rPr>
          <w:rFonts w:ascii="Times New Roman" w:hAnsi="Times New Roman"/>
          <w:color w:val="333333"/>
          <w:sz w:val="32"/>
          <w:szCs w:val="32"/>
        </w:rPr>
        <w:t>ты, как литература, история и другие, основное направление деятельности которых связано с изучением общества и людей.</w:t>
      </w:r>
    </w:p>
    <w:p w:rsidR="006323CA" w:rsidRPr="006323CA" w:rsidRDefault="006323CA" w:rsidP="009317F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9317FA" w:rsidRPr="008211E8" w:rsidRDefault="009317FA" w:rsidP="006323CA">
      <w:pPr>
        <w:spacing w:after="0" w:line="240" w:lineRule="auto"/>
        <w:jc w:val="center"/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29615" cy="7296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  <w:drawing>
          <wp:inline distT="0" distB="0" distL="0" distR="0" wp14:anchorId="55AA24A8" wp14:editId="7B4D2AAD">
            <wp:extent cx="963295" cy="963295"/>
            <wp:effectExtent l="0" t="0" r="825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  <w:drawing>
          <wp:inline distT="0" distB="0" distL="0" distR="0" wp14:anchorId="5D9F8FF8" wp14:editId="4D62F49C">
            <wp:extent cx="982345" cy="982345"/>
            <wp:effectExtent l="0" t="0" r="825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  <w:drawing>
          <wp:inline distT="0" distB="0" distL="0" distR="0" wp14:anchorId="684EE481" wp14:editId="35A10EEB">
            <wp:extent cx="1099185" cy="1099185"/>
            <wp:effectExtent l="0" t="0" r="571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FA" w:rsidRPr="008211E8" w:rsidRDefault="009317FA" w:rsidP="009317FA">
      <w:pPr>
        <w:spacing w:after="0" w:line="240" w:lineRule="auto"/>
        <w:rPr>
          <w:rFonts w:ascii="Times New Roman" w:eastAsia="Times New Roman" w:hAnsi="Times New Roman" w:cs="Aharoni"/>
          <w:noProof/>
          <w:color w:val="000000"/>
          <w:sz w:val="20"/>
          <w:szCs w:val="20"/>
          <w:lang w:eastAsia="ru-RU"/>
        </w:rPr>
      </w:pPr>
    </w:p>
    <w:p w:rsidR="009317FA" w:rsidRPr="006323CA" w:rsidRDefault="009317FA" w:rsidP="009317FA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t xml:space="preserve">                                 </w:t>
      </w:r>
    </w:p>
    <w:p w:rsidR="009317FA" w:rsidRPr="0019253F" w:rsidRDefault="009317FA" w:rsidP="009317F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  <w:proofErr w:type="gramStart"/>
      <w:r w:rsidRPr="0019253F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>Предполагают</w:t>
      </w:r>
      <w:proofErr w:type="gramEnd"/>
      <w:r w:rsidRPr="0019253F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 xml:space="preserve"> постоянную работу с людьми и связаны: </w:t>
      </w:r>
    </w:p>
    <w:p w:rsidR="009317FA" w:rsidRPr="006323CA" w:rsidRDefault="009317FA" w:rsidP="009317FA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медицинским обслуживанием (врач, медсестра...); </w:t>
      </w:r>
    </w:p>
    <w:p w:rsidR="009317FA" w:rsidRPr="006323CA" w:rsidRDefault="009317FA" w:rsidP="009317FA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обучением и с воспитанием (воспитатель, гувернер, тренер, учитель...), </w:t>
      </w:r>
    </w:p>
    <w:p w:rsidR="009317FA" w:rsidRPr="006323CA" w:rsidRDefault="009317FA" w:rsidP="009317FA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бытовым обслуживанием (продавец, проводник, официант...), </w:t>
      </w:r>
    </w:p>
    <w:p w:rsidR="006323CA" w:rsidRPr="0019253F" w:rsidRDefault="009317FA" w:rsidP="0019253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323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правовой защитой (юрист, участковый инспектор...)</w:t>
      </w:r>
    </w:p>
    <w:tbl>
      <w:tblPr>
        <w:tblW w:w="9086" w:type="dxa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3971"/>
      </w:tblGrid>
      <w:tr w:rsidR="009317FA" w:rsidRPr="006323CA" w:rsidTr="006323CA">
        <w:trPr>
          <w:trHeight w:val="352"/>
          <w:tblCellSpacing w:w="15" w:type="dxa"/>
          <w:jc w:val="center"/>
        </w:trPr>
        <w:tc>
          <w:tcPr>
            <w:tcW w:w="5070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B14316">
            <w:pPr>
              <w:framePr w:hSpace="180" w:wrap="around" w:vAnchor="text" w:hAnchor="margin" w:xAlign="center" w:y="11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B14316">
            <w:pPr>
              <w:framePr w:hSpace="180" w:wrap="around" w:vAnchor="text" w:hAnchor="margin" w:xAlign="center" w:y="11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317FA" w:rsidRPr="006323CA" w:rsidTr="006323CA">
        <w:trPr>
          <w:trHeight w:val="3838"/>
          <w:tblCellSpacing w:w="15" w:type="dxa"/>
          <w:jc w:val="center"/>
        </w:trPr>
        <w:tc>
          <w:tcPr>
            <w:tcW w:w="5070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обслуживание людей;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занятие лечением;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обучение;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воспитание;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защита прав и безопасности;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управление людьми;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легкость знакомства и общения с новыми людьми;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внимательно выслушивать людей;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4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хорошо и понятно говорить и выступать публично.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развитые коммуникативные способности;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эмоциональная устойчивость;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быстрая переключаемость внимания;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эмпатия</w:t>
            </w:r>
            <w:proofErr w:type="spellEnd"/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9317FA" w:rsidRPr="006323CA" w:rsidRDefault="009317FA" w:rsidP="00B14316">
            <w:pPr>
              <w:framePr w:hSpace="180" w:wrap="around" w:vAnchor="text" w:hAnchor="margin" w:xAlign="center" w:y="111"/>
              <w:numPr>
                <w:ilvl w:val="0"/>
                <w:numId w:val="15"/>
              </w:numPr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32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организаторские способности. </w:t>
            </w:r>
          </w:p>
        </w:tc>
      </w:tr>
    </w:tbl>
    <w:p w:rsidR="009317FA" w:rsidRPr="006323CA" w:rsidRDefault="009317FA" w:rsidP="009317FA">
      <w:pPr>
        <w:tabs>
          <w:tab w:val="left" w:pos="2727"/>
        </w:tabs>
        <w:rPr>
          <w:rFonts w:ascii="Times New Roman" w:hAnsi="Times New Roman"/>
          <w:sz w:val="32"/>
          <w:szCs w:val="32"/>
        </w:rPr>
      </w:pPr>
    </w:p>
    <w:sectPr w:rsidR="009317FA" w:rsidRPr="0063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E7"/>
    <w:multiLevelType w:val="multilevel"/>
    <w:tmpl w:val="56D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AC5"/>
    <w:multiLevelType w:val="multilevel"/>
    <w:tmpl w:val="F76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7694C"/>
    <w:multiLevelType w:val="multilevel"/>
    <w:tmpl w:val="A19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F3A2E"/>
    <w:multiLevelType w:val="multilevel"/>
    <w:tmpl w:val="557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70D84"/>
    <w:multiLevelType w:val="multilevel"/>
    <w:tmpl w:val="867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2ABD"/>
    <w:multiLevelType w:val="multilevel"/>
    <w:tmpl w:val="A3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A7F84"/>
    <w:multiLevelType w:val="multilevel"/>
    <w:tmpl w:val="97A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F1FC5"/>
    <w:multiLevelType w:val="multilevel"/>
    <w:tmpl w:val="EC4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147AD"/>
    <w:multiLevelType w:val="multilevel"/>
    <w:tmpl w:val="055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B0DB0"/>
    <w:multiLevelType w:val="multilevel"/>
    <w:tmpl w:val="9CC0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307A3"/>
    <w:multiLevelType w:val="multilevel"/>
    <w:tmpl w:val="35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F68B9"/>
    <w:multiLevelType w:val="multilevel"/>
    <w:tmpl w:val="A95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E325C"/>
    <w:multiLevelType w:val="multilevel"/>
    <w:tmpl w:val="427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012CC"/>
    <w:multiLevelType w:val="multilevel"/>
    <w:tmpl w:val="ADC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94F6E"/>
    <w:multiLevelType w:val="multilevel"/>
    <w:tmpl w:val="CE8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2"/>
    <w:rsid w:val="00101AA2"/>
    <w:rsid w:val="0019253F"/>
    <w:rsid w:val="002329F9"/>
    <w:rsid w:val="006323CA"/>
    <w:rsid w:val="009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2016-12-12T10:12:00Z</cp:lastPrinted>
  <dcterms:created xsi:type="dcterms:W3CDTF">2016-12-12T09:51:00Z</dcterms:created>
  <dcterms:modified xsi:type="dcterms:W3CDTF">2016-12-12T10:15:00Z</dcterms:modified>
</cp:coreProperties>
</file>